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sponsors,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sponsor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portfolio.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mentorship,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sponsors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groups.f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assimilating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redundant.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[Scheel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00:02:08],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collateral.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800,000.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collateral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collateral,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shape,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candidate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win-win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proceeds.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caveat,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attorney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nuances.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attorney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amortization.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amortization.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that'll...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collateral,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collateralization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encumbered.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creative-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008.5 - Sponsors &amp; Seller Financing,-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"https://www.rev.com/transcript-editor/Edit?token=J2bl0cgLCtsDdzt6JYZzzPCT0CUL5k2mOlmX_GAH3Dd81H_AqlbFbh2OXgzF-7hd8Rjpb1krQ5uOVWTuA-c4RuwjD-k&amp;loadFrom=DocumentHeaderDeepLink"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